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CF7FC3" w14:textId="5B1A5201" w:rsidR="00EC6FDB" w:rsidRPr="00EC6FDB" w:rsidRDefault="00EC6FDB" w:rsidP="00EC6FDB">
      <w:pPr>
        <w:numPr>
          <w:ilvl w:val="0"/>
          <w:numId w:val="1"/>
        </w:numPr>
        <w:shd w:val="clear" w:color="auto" w:fill="FFFFFF"/>
        <w:spacing w:before="100" w:beforeAutospacing="1" w:after="100" w:afterAutospacing="1" w:line="480" w:lineRule="auto"/>
        <w:rPr>
          <w:rFonts w:ascii="Times New Roman" w:eastAsia="Times New Roman" w:hAnsi="Times New Roman" w:cs="Times New Roman"/>
          <w:b/>
          <w:bCs/>
          <w:sz w:val="24"/>
          <w:szCs w:val="24"/>
        </w:rPr>
      </w:pPr>
      <w:bookmarkStart w:id="0" w:name="_GoBack"/>
      <w:bookmarkEnd w:id="0"/>
      <w:r w:rsidRPr="00EC6FDB">
        <w:rPr>
          <w:rFonts w:ascii="Times New Roman" w:eastAsia="Times New Roman" w:hAnsi="Times New Roman" w:cs="Times New Roman"/>
          <w:b/>
          <w:bCs/>
          <w:sz w:val="24"/>
          <w:szCs w:val="24"/>
        </w:rPr>
        <w:t>In the weighted average cost of capital formula, the after-tax cost of debt is used instead of the before-tax cost of debt. However, no such adjustment is made to the cost of equity. Are you surprised by this different tax handling of debt versus equity? Why or why not?</w:t>
      </w:r>
    </w:p>
    <w:p w14:paraId="05A39C48" w14:textId="1BC8C9C1" w:rsidR="00EC6FDB" w:rsidRPr="00EC6FDB" w:rsidRDefault="00EC6FDB" w:rsidP="00EC6FDB">
      <w:pPr>
        <w:spacing w:line="480" w:lineRule="auto"/>
        <w:ind w:firstLine="360"/>
        <w:rPr>
          <w:rFonts w:ascii="Times New Roman" w:eastAsia="Times New Roman" w:hAnsi="Times New Roman" w:cs="Times New Roman"/>
          <w:sz w:val="24"/>
          <w:szCs w:val="24"/>
        </w:rPr>
      </w:pPr>
      <w:r w:rsidRPr="00EC6FDB">
        <w:rPr>
          <w:rFonts w:ascii="Times New Roman" w:eastAsia="Times New Roman" w:hAnsi="Times New Roman" w:cs="Times New Roman"/>
          <w:sz w:val="24"/>
          <w:szCs w:val="24"/>
        </w:rPr>
        <w:t xml:space="preserve">No, the different tax handling of debt versus equity did not surprise me. This is so because normally, the cost of equity varies which means that it can be estimated. However, debt depends on the conditions of the contract which means it's fixed. According to </w:t>
      </w:r>
      <w:sdt>
        <w:sdtPr>
          <w:rPr>
            <w:rFonts w:ascii="Times New Roman" w:eastAsia="Times New Roman" w:hAnsi="Times New Roman" w:cs="Times New Roman"/>
            <w:sz w:val="24"/>
            <w:szCs w:val="24"/>
          </w:rPr>
          <w:id w:val="1316609320"/>
          <w:citation/>
        </w:sdtPr>
        <w:sdtEndPr/>
        <w:sdtContent>
          <w:r w:rsidRPr="00EC6FDB">
            <w:rPr>
              <w:rFonts w:ascii="Times New Roman" w:eastAsia="Times New Roman" w:hAnsi="Times New Roman" w:cs="Times New Roman"/>
              <w:sz w:val="24"/>
              <w:szCs w:val="24"/>
            </w:rPr>
            <w:fldChar w:fldCharType="begin"/>
          </w:r>
          <w:r w:rsidRPr="00EC6FDB">
            <w:rPr>
              <w:rFonts w:ascii="Times New Roman" w:eastAsia="Times New Roman" w:hAnsi="Times New Roman" w:cs="Times New Roman"/>
              <w:sz w:val="24"/>
              <w:szCs w:val="24"/>
            </w:rPr>
            <w:instrText xml:space="preserve"> CITATION Dha16 \l 1033 </w:instrText>
          </w:r>
          <w:r w:rsidRPr="00EC6FDB">
            <w:rPr>
              <w:rFonts w:ascii="Times New Roman" w:eastAsia="Times New Roman" w:hAnsi="Times New Roman" w:cs="Times New Roman"/>
              <w:sz w:val="24"/>
              <w:szCs w:val="24"/>
            </w:rPr>
            <w:fldChar w:fldCharType="separate"/>
          </w:r>
          <w:r w:rsidRPr="00EC6FDB">
            <w:rPr>
              <w:rFonts w:ascii="Times New Roman" w:eastAsia="Times New Roman" w:hAnsi="Times New Roman" w:cs="Times New Roman"/>
              <w:noProof/>
              <w:sz w:val="24"/>
              <w:szCs w:val="24"/>
            </w:rPr>
            <w:t>(Dhaliwal et al., 2016)</w:t>
          </w:r>
          <w:r w:rsidRPr="00EC6FDB">
            <w:rPr>
              <w:rFonts w:ascii="Times New Roman" w:eastAsia="Times New Roman" w:hAnsi="Times New Roman" w:cs="Times New Roman"/>
              <w:sz w:val="24"/>
              <w:szCs w:val="24"/>
            </w:rPr>
            <w:fldChar w:fldCharType="end"/>
          </w:r>
        </w:sdtContent>
      </w:sdt>
      <w:r w:rsidRPr="00EC6FDB">
        <w:rPr>
          <w:rFonts w:ascii="Times New Roman" w:eastAsia="Times New Roman" w:hAnsi="Times New Roman" w:cs="Times New Roman"/>
          <w:sz w:val="24"/>
          <w:szCs w:val="24"/>
        </w:rPr>
        <w:t xml:space="preserve"> the company normally sets the amount they borrow along with the taxes and the interest rate when it takes a loan. As a result, the cost of equity can sometimes be determined by the cost of equity. The reason the company always takes into account its debt after-tax cost when determining its weighted average cost of capital is to ensure that it has accurate data regarding its debt. </w:t>
      </w:r>
    </w:p>
    <w:p w14:paraId="00F0BF58" w14:textId="6F32F214" w:rsidR="00EC6FDB" w:rsidRPr="00EC6FDB" w:rsidRDefault="00EC6FDB" w:rsidP="00EC6FDB">
      <w:pPr>
        <w:pStyle w:val="ListParagraph"/>
        <w:numPr>
          <w:ilvl w:val="0"/>
          <w:numId w:val="1"/>
        </w:numPr>
        <w:shd w:val="clear" w:color="auto" w:fill="FFFFFF"/>
        <w:spacing w:before="100" w:beforeAutospacing="1" w:after="100" w:afterAutospacing="1" w:line="480" w:lineRule="auto"/>
        <w:rPr>
          <w:rFonts w:ascii="Times New Roman" w:eastAsia="Times New Roman" w:hAnsi="Times New Roman" w:cs="Times New Roman"/>
          <w:b/>
          <w:bCs/>
          <w:sz w:val="24"/>
          <w:szCs w:val="24"/>
        </w:rPr>
      </w:pPr>
      <w:r w:rsidRPr="00EC6FDB">
        <w:rPr>
          <w:rFonts w:ascii="Times New Roman" w:eastAsia="Times New Roman" w:hAnsi="Times New Roman" w:cs="Times New Roman"/>
          <w:b/>
          <w:bCs/>
          <w:sz w:val="24"/>
          <w:szCs w:val="24"/>
        </w:rPr>
        <w:t>If a corporation borrowed all of the money for its project at the risk-free rate, does that mean that the project’s cost of capital is the risk-free rate?</w:t>
      </w:r>
    </w:p>
    <w:p w14:paraId="70AF2309" w14:textId="107DD2FE" w:rsidR="00EC6FDB" w:rsidRPr="00EC6FDB" w:rsidRDefault="00EC6FDB" w:rsidP="00EC6FDB">
      <w:pPr>
        <w:spacing w:line="480" w:lineRule="auto"/>
        <w:ind w:firstLine="360"/>
        <w:rPr>
          <w:rFonts w:ascii="Times New Roman" w:eastAsia="Times New Roman" w:hAnsi="Times New Roman" w:cs="Times New Roman"/>
          <w:sz w:val="24"/>
          <w:szCs w:val="24"/>
        </w:rPr>
      </w:pPr>
      <w:r w:rsidRPr="00EC6FDB">
        <w:rPr>
          <w:rFonts w:ascii="Times New Roman" w:eastAsia="Times New Roman" w:hAnsi="Times New Roman" w:cs="Times New Roman"/>
          <w:sz w:val="24"/>
          <w:szCs w:val="24"/>
        </w:rPr>
        <w:t>Existing evidence has shown that even places labeled risk free are subject to many risks because risks are naturally everywhere</w:t>
      </w:r>
      <w:sdt>
        <w:sdtPr>
          <w:rPr>
            <w:rFonts w:ascii="Times New Roman" w:eastAsia="Times New Roman" w:hAnsi="Times New Roman" w:cs="Times New Roman"/>
            <w:sz w:val="24"/>
            <w:szCs w:val="24"/>
          </w:rPr>
          <w:id w:val="-1823737107"/>
          <w:citation/>
        </w:sdtPr>
        <w:sdtEndPr/>
        <w:sdtContent>
          <w:r w:rsidRPr="00EC6FDB">
            <w:rPr>
              <w:rFonts w:ascii="Times New Roman" w:eastAsia="Times New Roman" w:hAnsi="Times New Roman" w:cs="Times New Roman"/>
              <w:sz w:val="24"/>
              <w:szCs w:val="24"/>
            </w:rPr>
            <w:fldChar w:fldCharType="begin"/>
          </w:r>
          <w:r w:rsidRPr="00EC6FDB">
            <w:rPr>
              <w:rFonts w:ascii="Times New Roman" w:eastAsia="Times New Roman" w:hAnsi="Times New Roman" w:cs="Times New Roman"/>
              <w:sz w:val="24"/>
              <w:szCs w:val="24"/>
            </w:rPr>
            <w:instrText xml:space="preserve"> CITATION Dha16 \l 1033 </w:instrText>
          </w:r>
          <w:r w:rsidRPr="00EC6FDB">
            <w:rPr>
              <w:rFonts w:ascii="Times New Roman" w:eastAsia="Times New Roman" w:hAnsi="Times New Roman" w:cs="Times New Roman"/>
              <w:sz w:val="24"/>
              <w:szCs w:val="24"/>
            </w:rPr>
            <w:fldChar w:fldCharType="separate"/>
          </w:r>
          <w:r w:rsidRPr="00EC6FDB">
            <w:rPr>
              <w:rFonts w:ascii="Times New Roman" w:eastAsia="Times New Roman" w:hAnsi="Times New Roman" w:cs="Times New Roman"/>
              <w:noProof/>
              <w:sz w:val="24"/>
              <w:szCs w:val="24"/>
            </w:rPr>
            <w:t xml:space="preserve"> (Dhaliwal et al., 2016)</w:t>
          </w:r>
          <w:r w:rsidRPr="00EC6FDB">
            <w:rPr>
              <w:rFonts w:ascii="Times New Roman" w:eastAsia="Times New Roman" w:hAnsi="Times New Roman" w:cs="Times New Roman"/>
              <w:sz w:val="24"/>
              <w:szCs w:val="24"/>
            </w:rPr>
            <w:fldChar w:fldCharType="end"/>
          </w:r>
        </w:sdtContent>
      </w:sdt>
      <w:r w:rsidRPr="00EC6FDB">
        <w:rPr>
          <w:rFonts w:ascii="Times New Roman" w:eastAsia="Times New Roman" w:hAnsi="Times New Roman" w:cs="Times New Roman"/>
          <w:sz w:val="24"/>
          <w:szCs w:val="24"/>
        </w:rPr>
        <w:t xml:space="preserve">. Therefore, by borrowing money for its project at a risk-free rate, the corporation’s project cost of capital is still at greater risk. Normally, the term free-checks are used by lenders to entice their clients to do business with them. Also, with contemporary issues such as disease outbreaks, it’s difficult to predict the trends in the market because the market is constantly changing. Therefore, it's important to take caution regardless of the deals are good since risks are inevitable in such circumstances. This is the reason I believe that having risk-free rates is impossible. </w:t>
      </w:r>
    </w:p>
    <w:p w14:paraId="46141923" w14:textId="61AB9621" w:rsidR="00EC6FDB" w:rsidRPr="00EC6FDB" w:rsidRDefault="00EC6FDB" w:rsidP="00EC6FDB">
      <w:pPr>
        <w:numPr>
          <w:ilvl w:val="0"/>
          <w:numId w:val="1"/>
        </w:numPr>
        <w:shd w:val="clear" w:color="auto" w:fill="FFFFFF"/>
        <w:spacing w:before="100" w:beforeAutospacing="1" w:after="100" w:afterAutospacing="1" w:line="480" w:lineRule="auto"/>
        <w:rPr>
          <w:rFonts w:ascii="Times New Roman" w:eastAsia="Times New Roman" w:hAnsi="Times New Roman" w:cs="Times New Roman"/>
          <w:b/>
          <w:bCs/>
          <w:sz w:val="24"/>
          <w:szCs w:val="24"/>
        </w:rPr>
      </w:pPr>
      <w:r w:rsidRPr="00EC6FDB">
        <w:rPr>
          <w:rFonts w:ascii="Times New Roman" w:eastAsia="Times New Roman" w:hAnsi="Times New Roman" w:cs="Times New Roman"/>
          <w:b/>
          <w:bCs/>
          <w:sz w:val="24"/>
          <w:szCs w:val="24"/>
        </w:rPr>
        <w:lastRenderedPageBreak/>
        <w:t>When calculating the weighted average cost of capital, would it matter more if book values instead of market values were used for equity instead of debt? Please explain.</w:t>
      </w:r>
    </w:p>
    <w:p w14:paraId="09E008E8" w14:textId="0EAB4808" w:rsidR="00EC6FDB" w:rsidRPr="00EC6FDB" w:rsidRDefault="00EC6FDB" w:rsidP="00EC6FDB">
      <w:pPr>
        <w:spacing w:line="480" w:lineRule="auto"/>
        <w:ind w:firstLine="360"/>
        <w:rPr>
          <w:rFonts w:ascii="Times New Roman" w:eastAsia="Times New Roman" w:hAnsi="Times New Roman" w:cs="Times New Roman"/>
          <w:sz w:val="24"/>
          <w:szCs w:val="24"/>
        </w:rPr>
      </w:pPr>
      <w:r w:rsidRPr="00EC6FDB">
        <w:rPr>
          <w:rFonts w:ascii="Times New Roman" w:eastAsia="Times New Roman" w:hAnsi="Times New Roman" w:cs="Times New Roman"/>
          <w:sz w:val="24"/>
          <w:szCs w:val="24"/>
        </w:rPr>
        <w:t>Yes, the calculations will be very different if the book instead of market values will be used for calculating the average cost of capital. The book value refers to the original cost of a product hence, it cannot change</w:t>
      </w:r>
      <w:sdt>
        <w:sdtPr>
          <w:rPr>
            <w:rFonts w:ascii="Times New Roman" w:eastAsia="Times New Roman" w:hAnsi="Times New Roman" w:cs="Times New Roman"/>
            <w:sz w:val="24"/>
            <w:szCs w:val="24"/>
          </w:rPr>
          <w:id w:val="-1638561945"/>
          <w:citation/>
        </w:sdtPr>
        <w:sdtEndPr/>
        <w:sdtContent>
          <w:r w:rsidRPr="00EC6FDB">
            <w:rPr>
              <w:rFonts w:ascii="Times New Roman" w:eastAsia="Times New Roman" w:hAnsi="Times New Roman" w:cs="Times New Roman"/>
              <w:sz w:val="24"/>
              <w:szCs w:val="24"/>
            </w:rPr>
            <w:fldChar w:fldCharType="begin"/>
          </w:r>
          <w:r w:rsidRPr="00EC6FDB">
            <w:rPr>
              <w:rFonts w:ascii="Times New Roman" w:eastAsia="Times New Roman" w:hAnsi="Times New Roman" w:cs="Times New Roman"/>
              <w:sz w:val="24"/>
              <w:szCs w:val="24"/>
            </w:rPr>
            <w:instrText xml:space="preserve"> CITATION Dha16 \l 1033 </w:instrText>
          </w:r>
          <w:r w:rsidRPr="00EC6FDB">
            <w:rPr>
              <w:rFonts w:ascii="Times New Roman" w:eastAsia="Times New Roman" w:hAnsi="Times New Roman" w:cs="Times New Roman"/>
              <w:sz w:val="24"/>
              <w:szCs w:val="24"/>
            </w:rPr>
            <w:fldChar w:fldCharType="separate"/>
          </w:r>
          <w:r w:rsidRPr="00EC6FDB">
            <w:rPr>
              <w:rFonts w:ascii="Times New Roman" w:eastAsia="Times New Roman" w:hAnsi="Times New Roman" w:cs="Times New Roman"/>
              <w:noProof/>
              <w:sz w:val="24"/>
              <w:szCs w:val="24"/>
            </w:rPr>
            <w:t xml:space="preserve"> (Dhaliwal et al., 2016)</w:t>
          </w:r>
          <w:r w:rsidRPr="00EC6FDB">
            <w:rPr>
              <w:rFonts w:ascii="Times New Roman" w:eastAsia="Times New Roman" w:hAnsi="Times New Roman" w:cs="Times New Roman"/>
              <w:sz w:val="24"/>
              <w:szCs w:val="24"/>
            </w:rPr>
            <w:fldChar w:fldCharType="end"/>
          </w:r>
        </w:sdtContent>
      </w:sdt>
      <w:r w:rsidRPr="00EC6FDB">
        <w:rPr>
          <w:rFonts w:ascii="Times New Roman" w:eastAsia="Times New Roman" w:hAnsi="Times New Roman" w:cs="Times New Roman"/>
          <w:sz w:val="24"/>
          <w:szCs w:val="24"/>
        </w:rPr>
        <w:t xml:space="preserve">. For example, if a person bought a product at $10,000, the money that was paid for that product will not change even after 20 years. However, the market value is always changing depending on the trends on the market. As a result, a product which is $10000 today might be 20000 ten years from now. As a result of this, the accurate data of market value is difficult to find even though working with WACC can provide accurate data. Since the company cannot control the continuous variation in the market value, </w:t>
      </w:r>
      <w:proofErr w:type="spellStart"/>
      <w:r w:rsidRPr="00EC6FDB">
        <w:rPr>
          <w:rFonts w:ascii="Times New Roman" w:eastAsia="Times New Roman" w:hAnsi="Times New Roman" w:cs="Times New Roman"/>
          <w:sz w:val="24"/>
          <w:szCs w:val="24"/>
        </w:rPr>
        <w:t>its</w:t>
      </w:r>
      <w:proofErr w:type="spellEnd"/>
      <w:r w:rsidRPr="00EC6FDB">
        <w:rPr>
          <w:rFonts w:ascii="Times New Roman" w:eastAsia="Times New Roman" w:hAnsi="Times New Roman" w:cs="Times New Roman"/>
          <w:sz w:val="24"/>
          <w:szCs w:val="24"/>
        </w:rPr>
        <w:t xml:space="preserve"> important to keep track of the market values promptly. The precise calculations help the investors make decisions on whether their investments are worth the value or not. </w:t>
      </w:r>
    </w:p>
    <w:p w14:paraId="5BF71ECA" w14:textId="32651AF4" w:rsidR="00EC6FDB" w:rsidRPr="00EC6FDB" w:rsidRDefault="00EC6FDB" w:rsidP="00EC6FDB">
      <w:pPr>
        <w:spacing w:line="480" w:lineRule="auto"/>
        <w:ind w:firstLine="360"/>
        <w:rPr>
          <w:rFonts w:ascii="Times New Roman" w:eastAsia="Times New Roman" w:hAnsi="Times New Roman" w:cs="Times New Roman"/>
          <w:sz w:val="24"/>
          <w:szCs w:val="24"/>
        </w:rPr>
      </w:pPr>
    </w:p>
    <w:p w14:paraId="6BC7C7DF" w14:textId="6A4BAFEB" w:rsidR="00EC6FDB" w:rsidRPr="00EC6FDB" w:rsidRDefault="00EC6FDB" w:rsidP="00EC6FDB">
      <w:pPr>
        <w:spacing w:line="480" w:lineRule="auto"/>
        <w:ind w:firstLine="360"/>
        <w:rPr>
          <w:rFonts w:ascii="Times New Roman" w:eastAsia="Times New Roman" w:hAnsi="Times New Roman" w:cs="Times New Roman"/>
          <w:sz w:val="24"/>
          <w:szCs w:val="24"/>
        </w:rPr>
      </w:pPr>
    </w:p>
    <w:p w14:paraId="74A8B896" w14:textId="07BE5A1E" w:rsidR="00EC6FDB" w:rsidRPr="00EC6FDB" w:rsidRDefault="00EC6FDB" w:rsidP="00EC6FDB">
      <w:pPr>
        <w:spacing w:line="480" w:lineRule="auto"/>
        <w:ind w:firstLine="360"/>
        <w:rPr>
          <w:rFonts w:ascii="Times New Roman" w:eastAsia="Times New Roman" w:hAnsi="Times New Roman" w:cs="Times New Roman"/>
          <w:sz w:val="24"/>
          <w:szCs w:val="24"/>
        </w:rPr>
      </w:pPr>
    </w:p>
    <w:p w14:paraId="2C93DBAF" w14:textId="3F5F978D" w:rsidR="00EC6FDB" w:rsidRPr="00EC6FDB" w:rsidRDefault="00EC6FDB" w:rsidP="00EC6FDB">
      <w:pPr>
        <w:spacing w:line="480" w:lineRule="auto"/>
        <w:ind w:firstLine="360"/>
        <w:rPr>
          <w:rFonts w:ascii="Times New Roman" w:eastAsia="Times New Roman" w:hAnsi="Times New Roman" w:cs="Times New Roman"/>
          <w:sz w:val="24"/>
          <w:szCs w:val="24"/>
        </w:rPr>
      </w:pPr>
    </w:p>
    <w:p w14:paraId="5145C0EE" w14:textId="7C0759F3" w:rsidR="00EC6FDB" w:rsidRPr="00EC6FDB" w:rsidRDefault="00EC6FDB" w:rsidP="00EC6FDB">
      <w:pPr>
        <w:spacing w:line="480" w:lineRule="auto"/>
        <w:ind w:firstLine="360"/>
        <w:rPr>
          <w:rFonts w:ascii="Times New Roman" w:eastAsia="Times New Roman" w:hAnsi="Times New Roman" w:cs="Times New Roman"/>
          <w:sz w:val="24"/>
          <w:szCs w:val="24"/>
        </w:rPr>
      </w:pPr>
    </w:p>
    <w:p w14:paraId="4112CA45" w14:textId="08E690D0" w:rsidR="00EC6FDB" w:rsidRPr="00EC6FDB" w:rsidRDefault="00EC6FDB" w:rsidP="00EC6FDB">
      <w:pPr>
        <w:spacing w:line="480" w:lineRule="auto"/>
        <w:ind w:firstLine="360"/>
        <w:rPr>
          <w:rFonts w:ascii="Times New Roman" w:eastAsia="Times New Roman" w:hAnsi="Times New Roman" w:cs="Times New Roman"/>
          <w:sz w:val="24"/>
          <w:szCs w:val="24"/>
        </w:rPr>
      </w:pPr>
    </w:p>
    <w:p w14:paraId="104E2394" w14:textId="20B79818" w:rsidR="00EC6FDB" w:rsidRPr="00EC6FDB" w:rsidRDefault="00EC6FDB" w:rsidP="00EC6FDB">
      <w:pPr>
        <w:spacing w:line="480" w:lineRule="auto"/>
        <w:ind w:firstLine="360"/>
        <w:rPr>
          <w:rFonts w:ascii="Times New Roman" w:eastAsia="Times New Roman" w:hAnsi="Times New Roman" w:cs="Times New Roman"/>
          <w:sz w:val="24"/>
          <w:szCs w:val="24"/>
        </w:rPr>
      </w:pPr>
    </w:p>
    <w:p w14:paraId="4594434F" w14:textId="77777777" w:rsidR="00EC6FDB" w:rsidRPr="00EC6FDB" w:rsidRDefault="00EC6FDB" w:rsidP="00EC6FDB">
      <w:pPr>
        <w:spacing w:line="480" w:lineRule="auto"/>
        <w:rPr>
          <w:rFonts w:ascii="Times New Roman" w:eastAsia="Times New Roman" w:hAnsi="Times New Roman" w:cs="Times New Roman"/>
          <w:sz w:val="24"/>
          <w:szCs w:val="24"/>
        </w:rPr>
      </w:pPr>
    </w:p>
    <w:p w14:paraId="44AF374C" w14:textId="7BD3FDD9" w:rsidR="00650820" w:rsidRPr="00EC6FDB" w:rsidRDefault="00EC6FDB" w:rsidP="00EC6FDB">
      <w:pPr>
        <w:spacing w:line="480" w:lineRule="auto"/>
        <w:jc w:val="center"/>
        <w:rPr>
          <w:rFonts w:ascii="Times New Roman" w:hAnsi="Times New Roman" w:cs="Times New Roman"/>
          <w:sz w:val="24"/>
          <w:szCs w:val="24"/>
        </w:rPr>
      </w:pPr>
      <w:r w:rsidRPr="00EC6FDB">
        <w:rPr>
          <w:rFonts w:ascii="Times New Roman" w:hAnsi="Times New Roman" w:cs="Times New Roman"/>
          <w:sz w:val="24"/>
          <w:szCs w:val="24"/>
        </w:rPr>
        <w:lastRenderedPageBreak/>
        <w:t>Reference</w:t>
      </w:r>
    </w:p>
    <w:p w14:paraId="18B7DB05" w14:textId="140255AD" w:rsidR="00EC6FDB" w:rsidRPr="00EC6FDB" w:rsidRDefault="00EC6FDB" w:rsidP="00EC6FDB">
      <w:pPr>
        <w:spacing w:line="480" w:lineRule="auto"/>
        <w:ind w:left="720" w:hanging="720"/>
        <w:rPr>
          <w:rFonts w:ascii="Times New Roman" w:hAnsi="Times New Roman" w:cs="Times New Roman"/>
          <w:sz w:val="24"/>
          <w:szCs w:val="24"/>
        </w:rPr>
      </w:pPr>
      <w:r w:rsidRPr="00EC6FDB">
        <w:rPr>
          <w:rFonts w:ascii="Times New Roman" w:hAnsi="Times New Roman" w:cs="Times New Roman"/>
          <w:sz w:val="24"/>
          <w:szCs w:val="24"/>
          <w:shd w:val="clear" w:color="auto" w:fill="FFFFFF"/>
        </w:rPr>
        <w:t xml:space="preserve">Dhaliwal, D., Judd, J. S., </w:t>
      </w:r>
      <w:proofErr w:type="spellStart"/>
      <w:r w:rsidRPr="00EC6FDB">
        <w:rPr>
          <w:rFonts w:ascii="Times New Roman" w:hAnsi="Times New Roman" w:cs="Times New Roman"/>
          <w:sz w:val="24"/>
          <w:szCs w:val="24"/>
          <w:shd w:val="clear" w:color="auto" w:fill="FFFFFF"/>
        </w:rPr>
        <w:t>Serfling</w:t>
      </w:r>
      <w:proofErr w:type="spellEnd"/>
      <w:r w:rsidRPr="00EC6FDB">
        <w:rPr>
          <w:rFonts w:ascii="Times New Roman" w:hAnsi="Times New Roman" w:cs="Times New Roman"/>
          <w:sz w:val="24"/>
          <w:szCs w:val="24"/>
          <w:shd w:val="clear" w:color="auto" w:fill="FFFFFF"/>
        </w:rPr>
        <w:t>, M., &amp; Shaikh, S. (2016). Customer concentration risk and the cost of equity capital. </w:t>
      </w:r>
      <w:r w:rsidRPr="00EC6FDB">
        <w:rPr>
          <w:rFonts w:ascii="Times New Roman" w:hAnsi="Times New Roman" w:cs="Times New Roman"/>
          <w:i/>
          <w:iCs/>
          <w:sz w:val="24"/>
          <w:szCs w:val="24"/>
          <w:shd w:val="clear" w:color="auto" w:fill="FFFFFF"/>
        </w:rPr>
        <w:t>Journal of Accounting and Economics</w:t>
      </w:r>
      <w:r w:rsidRPr="00EC6FDB">
        <w:rPr>
          <w:rFonts w:ascii="Times New Roman" w:hAnsi="Times New Roman" w:cs="Times New Roman"/>
          <w:sz w:val="24"/>
          <w:szCs w:val="24"/>
          <w:shd w:val="clear" w:color="auto" w:fill="FFFFFF"/>
        </w:rPr>
        <w:t>, </w:t>
      </w:r>
      <w:r w:rsidRPr="00EC6FDB">
        <w:rPr>
          <w:rFonts w:ascii="Times New Roman" w:hAnsi="Times New Roman" w:cs="Times New Roman"/>
          <w:i/>
          <w:iCs/>
          <w:sz w:val="24"/>
          <w:szCs w:val="24"/>
          <w:shd w:val="clear" w:color="auto" w:fill="FFFFFF"/>
        </w:rPr>
        <w:t>61</w:t>
      </w:r>
      <w:r w:rsidRPr="00EC6FDB">
        <w:rPr>
          <w:rFonts w:ascii="Times New Roman" w:hAnsi="Times New Roman" w:cs="Times New Roman"/>
          <w:sz w:val="24"/>
          <w:szCs w:val="24"/>
          <w:shd w:val="clear" w:color="auto" w:fill="FFFFFF"/>
        </w:rPr>
        <w:t>(1), 23-48.</w:t>
      </w:r>
    </w:p>
    <w:sectPr w:rsidR="00EC6FDB" w:rsidRPr="00EC6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906E6"/>
    <w:multiLevelType w:val="multilevel"/>
    <w:tmpl w:val="396C6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5AF289A"/>
    <w:multiLevelType w:val="multilevel"/>
    <w:tmpl w:val="396C6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E36"/>
    <w:rsid w:val="00650820"/>
    <w:rsid w:val="00AF2E36"/>
    <w:rsid w:val="00D062BF"/>
    <w:rsid w:val="00EC6FDB"/>
    <w:rsid w:val="00EF0168"/>
    <w:rsid w:val="00FC2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3C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168"/>
    <w:pPr>
      <w:ind w:left="720"/>
      <w:contextualSpacing/>
    </w:pPr>
  </w:style>
  <w:style w:type="paragraph" w:styleId="BalloonText">
    <w:name w:val="Balloon Text"/>
    <w:basedOn w:val="Normal"/>
    <w:link w:val="BalloonTextChar"/>
    <w:uiPriority w:val="99"/>
    <w:semiHidden/>
    <w:unhideWhenUsed/>
    <w:rsid w:val="00FC2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7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168"/>
    <w:pPr>
      <w:ind w:left="720"/>
      <w:contextualSpacing/>
    </w:pPr>
  </w:style>
  <w:style w:type="paragraph" w:styleId="BalloonText">
    <w:name w:val="Balloon Text"/>
    <w:basedOn w:val="Normal"/>
    <w:link w:val="BalloonTextChar"/>
    <w:uiPriority w:val="99"/>
    <w:semiHidden/>
    <w:unhideWhenUsed/>
    <w:rsid w:val="00FC2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7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645">
      <w:bodyDiv w:val="1"/>
      <w:marLeft w:val="0"/>
      <w:marRight w:val="0"/>
      <w:marTop w:val="0"/>
      <w:marBottom w:val="0"/>
      <w:divBdr>
        <w:top w:val="none" w:sz="0" w:space="0" w:color="auto"/>
        <w:left w:val="none" w:sz="0" w:space="0" w:color="auto"/>
        <w:bottom w:val="none" w:sz="0" w:space="0" w:color="auto"/>
        <w:right w:val="none" w:sz="0" w:space="0" w:color="auto"/>
      </w:divBdr>
    </w:div>
    <w:div w:id="1301225739">
      <w:bodyDiv w:val="1"/>
      <w:marLeft w:val="0"/>
      <w:marRight w:val="0"/>
      <w:marTop w:val="0"/>
      <w:marBottom w:val="0"/>
      <w:divBdr>
        <w:top w:val="none" w:sz="0" w:space="0" w:color="auto"/>
        <w:left w:val="none" w:sz="0" w:space="0" w:color="auto"/>
        <w:bottom w:val="none" w:sz="0" w:space="0" w:color="auto"/>
        <w:right w:val="none" w:sz="0" w:space="0" w:color="auto"/>
      </w:divBdr>
    </w:div>
    <w:div w:id="189990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Dha16</b:Tag>
    <b:SourceType>Book</b:SourceType>
    <b:Guid>{12CBBEBC-1338-4BD0-BBEC-5D8B8F0B7594}</b:Guid>
    <b:Title>Dhaliwal et al.</b:Title>
    <b:Year>2016</b:Year>
    <b:RefOrder>1</b:RefOrder>
  </b:Source>
</b:Sources>
</file>

<file path=customXml/itemProps1.xml><?xml version="1.0" encoding="utf-8"?>
<ds:datastoreItem xmlns:ds="http://schemas.openxmlformats.org/officeDocument/2006/customXml" ds:itemID="{25A0FD70-C3FA-4DCB-AFB3-0BBD97E54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2020-06-03T13:32:00Z</dcterms:created>
  <dcterms:modified xsi:type="dcterms:W3CDTF">2020-06-03T13:32:00Z</dcterms:modified>
</cp:coreProperties>
</file>